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D91" w:rsidRPr="00560675" w:rsidRDefault="00273D91" w:rsidP="00273D91">
      <w:pPr>
        <w:jc w:val="center"/>
        <w:rPr>
          <w:rFonts w:ascii="Book Antiqua" w:hAnsi="Book Antiqua"/>
          <w:sz w:val="24"/>
          <w:szCs w:val="24"/>
        </w:rPr>
      </w:pPr>
      <w:r w:rsidRPr="00560675">
        <w:rPr>
          <w:rFonts w:ascii="Book Antiqua" w:hAnsi="Book Antiqua"/>
          <w:sz w:val="24"/>
          <w:szCs w:val="24"/>
        </w:rPr>
        <w:t>Holy Cross Head Start</w:t>
      </w:r>
    </w:p>
    <w:p w:rsidR="00273D91" w:rsidRPr="00560675" w:rsidRDefault="00273D91" w:rsidP="00273D91">
      <w:pPr>
        <w:jc w:val="center"/>
        <w:rPr>
          <w:rFonts w:ascii="Book Antiqua" w:hAnsi="Book Antiqua"/>
          <w:sz w:val="24"/>
          <w:szCs w:val="24"/>
        </w:rPr>
      </w:pPr>
      <w:r>
        <w:rPr>
          <w:rFonts w:ascii="Book Antiqua" w:hAnsi="Book Antiqua"/>
          <w:sz w:val="24"/>
          <w:szCs w:val="24"/>
        </w:rPr>
        <w:t xml:space="preserve">Fall </w:t>
      </w:r>
      <w:r w:rsidRPr="00560675">
        <w:rPr>
          <w:rFonts w:ascii="Book Antiqua" w:hAnsi="Book Antiqua"/>
          <w:sz w:val="24"/>
          <w:szCs w:val="24"/>
        </w:rPr>
        <w:t>2018 Teaching Strategies Gold Data</w:t>
      </w:r>
    </w:p>
    <w:p w:rsidR="00273D91" w:rsidRPr="00560675" w:rsidRDefault="00273D91" w:rsidP="00273D91">
      <w:pPr>
        <w:autoSpaceDE w:val="0"/>
        <w:autoSpaceDN w:val="0"/>
        <w:adjustRightInd w:val="0"/>
        <w:spacing w:before="100" w:beforeAutospacing="1" w:after="100" w:afterAutospacing="1" w:line="360" w:lineRule="auto"/>
        <w:rPr>
          <w:rFonts w:ascii="Book Antiqua" w:hAnsi="Book Antiqua" w:cs="Arial"/>
          <w:sz w:val="24"/>
          <w:szCs w:val="24"/>
        </w:rPr>
      </w:pPr>
      <w:r w:rsidRPr="00560675">
        <w:rPr>
          <w:rFonts w:ascii="Book Antiqua" w:hAnsi="Book Antiqua" w:cs="Arial"/>
          <w:sz w:val="24"/>
          <w:szCs w:val="24"/>
        </w:rPr>
        <w:t xml:space="preserve">The information in this report presents the assessment data gathered for children enrolled in program during the </w:t>
      </w:r>
      <w:proofErr w:type="gramStart"/>
      <w:r>
        <w:rPr>
          <w:rFonts w:ascii="Book Antiqua" w:hAnsi="Book Antiqua" w:cs="Arial"/>
          <w:sz w:val="24"/>
          <w:szCs w:val="24"/>
        </w:rPr>
        <w:t>Fall</w:t>
      </w:r>
      <w:proofErr w:type="gramEnd"/>
      <w:r>
        <w:rPr>
          <w:rFonts w:ascii="Book Antiqua" w:hAnsi="Book Antiqua" w:cs="Arial"/>
          <w:sz w:val="24"/>
          <w:szCs w:val="24"/>
        </w:rPr>
        <w:t xml:space="preserve"> of 2018.</w:t>
      </w:r>
    </w:p>
    <w:p w:rsidR="00273D91" w:rsidRPr="00560675" w:rsidRDefault="00273D91" w:rsidP="00273D91">
      <w:pPr>
        <w:autoSpaceDE w:val="0"/>
        <w:autoSpaceDN w:val="0"/>
        <w:adjustRightInd w:val="0"/>
        <w:spacing w:after="0" w:line="240" w:lineRule="auto"/>
        <w:rPr>
          <w:rFonts w:ascii="Book Antiqua" w:hAnsi="Book Antiqua" w:cs="Arial"/>
          <w:sz w:val="24"/>
          <w:szCs w:val="24"/>
        </w:rPr>
      </w:pPr>
      <w:r w:rsidRPr="00560675">
        <w:rPr>
          <w:rFonts w:ascii="Book Antiqua" w:hAnsi="Book Antiqua" w:cs="Arial"/>
          <w:sz w:val="24"/>
          <w:szCs w:val="24"/>
        </w:rPr>
        <w:t xml:space="preserve">During the Fall Checkpoint (September-November) </w:t>
      </w:r>
      <w:r>
        <w:rPr>
          <w:rFonts w:ascii="Book Antiqua" w:hAnsi="Book Antiqua" w:cs="Arial"/>
          <w:sz w:val="24"/>
          <w:szCs w:val="24"/>
        </w:rPr>
        <w:t>482</w:t>
      </w:r>
      <w:r w:rsidRPr="00560675">
        <w:rPr>
          <w:rFonts w:ascii="Book Antiqua" w:hAnsi="Book Antiqua" w:cs="Arial"/>
          <w:sz w:val="24"/>
          <w:szCs w:val="24"/>
        </w:rPr>
        <w:t xml:space="preserve"> children were assessed.</w:t>
      </w:r>
    </w:p>
    <w:p w:rsidR="00273D91" w:rsidRPr="00560675" w:rsidRDefault="00273D91" w:rsidP="00273D91">
      <w:pPr>
        <w:autoSpaceDE w:val="0"/>
        <w:autoSpaceDN w:val="0"/>
        <w:adjustRightInd w:val="0"/>
        <w:spacing w:after="0" w:line="240" w:lineRule="auto"/>
        <w:rPr>
          <w:rFonts w:ascii="Book Antiqua" w:hAnsi="Book Antiqua" w:cs="Arial"/>
          <w:sz w:val="24"/>
          <w:szCs w:val="24"/>
        </w:rPr>
      </w:pPr>
    </w:p>
    <w:p w:rsidR="00273D91" w:rsidRPr="00560675" w:rsidRDefault="00273D91" w:rsidP="00273D91">
      <w:pPr>
        <w:autoSpaceDE w:val="0"/>
        <w:autoSpaceDN w:val="0"/>
        <w:adjustRightInd w:val="0"/>
        <w:spacing w:before="100" w:beforeAutospacing="1" w:after="100" w:afterAutospacing="1" w:line="360" w:lineRule="auto"/>
        <w:rPr>
          <w:rFonts w:ascii="Book Antiqua" w:hAnsi="Book Antiqua" w:cs="Arial"/>
          <w:sz w:val="24"/>
          <w:szCs w:val="24"/>
        </w:rPr>
      </w:pPr>
      <w:r w:rsidRPr="00560675">
        <w:rPr>
          <w:rFonts w:ascii="Book Antiqua" w:hAnsi="Book Antiqua" w:cs="Arial"/>
          <w:sz w:val="24"/>
          <w:szCs w:val="24"/>
        </w:rPr>
        <w:t xml:space="preserve">Teachers at Holy Cross Head Start used 84 objectives in GOLD® to report the children's skill levels for the selected criteria. The data in this report includes Social-Emotional, Physical, Language, Cognitive, Literacy, </w:t>
      </w:r>
      <w:proofErr w:type="gramStart"/>
      <w:r w:rsidRPr="00560675">
        <w:rPr>
          <w:rFonts w:ascii="Book Antiqua" w:hAnsi="Book Antiqua" w:cs="Arial"/>
          <w:sz w:val="24"/>
          <w:szCs w:val="24"/>
        </w:rPr>
        <w:t>Mathematics</w:t>
      </w:r>
      <w:proofErr w:type="gramEnd"/>
      <w:r w:rsidRPr="00560675">
        <w:rPr>
          <w:rFonts w:ascii="Book Antiqua" w:hAnsi="Book Antiqua" w:cs="Arial"/>
          <w:sz w:val="24"/>
          <w:szCs w:val="24"/>
        </w:rPr>
        <w:t>.  GOLD measures the knowledge, skills, and abilities that are most predictive of school success. The tool has 38 objectives, including 2 objectives related to English language acquisition.  Thirty-six of the 38 objectives are organized into nine areas of development and learning. The first four are major areas of child development: social-emotional, physical, language, and cognitive.  The content learning that is usually identified in early learning standards is organized into the following five areas: literacy, mathematics, science and technology, social studies, and the arts.  The objectives in a tenth area, English language acquisition, help teachers follow a child's progress in acquiring receptive and expressive skills in English.</w:t>
      </w:r>
    </w:p>
    <w:p w:rsidR="00273D91" w:rsidRPr="00560675" w:rsidRDefault="00273D91" w:rsidP="00273D91">
      <w:pPr>
        <w:autoSpaceDE w:val="0"/>
        <w:autoSpaceDN w:val="0"/>
        <w:adjustRightInd w:val="0"/>
        <w:spacing w:before="120" w:after="120" w:line="360" w:lineRule="auto"/>
        <w:rPr>
          <w:rFonts w:ascii="Book Antiqua" w:hAnsi="Book Antiqua" w:cs="Arial"/>
          <w:sz w:val="24"/>
          <w:szCs w:val="24"/>
          <w:u w:val="single"/>
        </w:rPr>
      </w:pPr>
      <w:r w:rsidRPr="00560675">
        <w:rPr>
          <w:rFonts w:ascii="Book Antiqua" w:hAnsi="Book Antiqua" w:cs="Arial"/>
          <w:sz w:val="24"/>
          <w:szCs w:val="24"/>
          <w:u w:val="single"/>
        </w:rPr>
        <w:t>How Teachers Collect Data Included in this Report</w:t>
      </w:r>
    </w:p>
    <w:p w:rsidR="00273D91" w:rsidRDefault="00273D91" w:rsidP="00273D91">
      <w:pPr>
        <w:autoSpaceDE w:val="0"/>
        <w:autoSpaceDN w:val="0"/>
        <w:adjustRightInd w:val="0"/>
        <w:spacing w:before="100" w:beforeAutospacing="1" w:after="100" w:afterAutospacing="1" w:line="360" w:lineRule="auto"/>
        <w:rPr>
          <w:rFonts w:ascii="Book Antiqua" w:hAnsi="Book Antiqua" w:cs="Arial"/>
          <w:sz w:val="24"/>
          <w:szCs w:val="24"/>
        </w:rPr>
      </w:pPr>
      <w:r w:rsidRPr="00560675">
        <w:rPr>
          <w:rFonts w:ascii="Book Antiqua" w:hAnsi="Book Antiqua" w:cs="Arial"/>
          <w:sz w:val="24"/>
          <w:szCs w:val="24"/>
        </w:rPr>
        <w:t>Teachers using GOLD® follow a systematic process to collect the data needed for reports. An important part of the process is evaluating each child's knowledge, skills, and abilities. Teachers thoughtfully consider what children know and can do with regard to 38 research-based objectives for development and learning. Many of these objectives include dimensions that guide and develop a teacher's thinking about the different aspects of an objective. To assess a child's skill level for a particular objective or dimension, the teacher reviews its progression to determine which indicator, or milestone, best describes the child's current knowledge, skills, and abilities. This decision is based on observations of the child as he or she participates in everyday routines and experiences throughout the program or school year.</w:t>
      </w:r>
    </w:p>
    <w:p w:rsidR="00FF2627" w:rsidRDefault="00FF2627" w:rsidP="00273D91">
      <w:pPr>
        <w:autoSpaceDE w:val="0"/>
        <w:autoSpaceDN w:val="0"/>
        <w:adjustRightInd w:val="0"/>
        <w:spacing w:before="100" w:beforeAutospacing="1" w:after="100" w:afterAutospacing="1" w:line="360" w:lineRule="auto"/>
        <w:rPr>
          <w:rFonts w:ascii="Book Antiqua" w:hAnsi="Book Antiqua" w:cs="Arial"/>
          <w:sz w:val="24"/>
          <w:szCs w:val="24"/>
        </w:rPr>
      </w:pPr>
    </w:p>
    <w:p w:rsidR="00FF2627" w:rsidRDefault="00FF2627" w:rsidP="00FF2627">
      <w:pPr>
        <w:jc w:val="center"/>
        <w:rPr>
          <w:rFonts w:asciiTheme="majorHAnsi" w:hAnsiTheme="majorHAnsi"/>
          <w:sz w:val="40"/>
          <w:szCs w:val="40"/>
        </w:rPr>
      </w:pPr>
      <w:r w:rsidRPr="00C15C7B">
        <w:rPr>
          <w:rFonts w:asciiTheme="majorHAnsi" w:hAnsiTheme="majorHAnsi"/>
          <w:sz w:val="40"/>
          <w:szCs w:val="40"/>
        </w:rPr>
        <w:t>Holy Cross</w:t>
      </w:r>
      <w:r>
        <w:rPr>
          <w:rFonts w:asciiTheme="majorHAnsi" w:hAnsiTheme="majorHAnsi"/>
          <w:sz w:val="40"/>
          <w:szCs w:val="40"/>
        </w:rPr>
        <w:t xml:space="preserve"> Head Start Fall Checkpoints</w:t>
      </w:r>
    </w:p>
    <w:p w:rsidR="00FF2627" w:rsidRPr="00C15C7B" w:rsidRDefault="00FF2627" w:rsidP="00FF2627">
      <w:pPr>
        <w:jc w:val="center"/>
        <w:rPr>
          <w:rFonts w:asciiTheme="majorHAnsi" w:hAnsiTheme="majorHAnsi"/>
          <w:sz w:val="40"/>
          <w:szCs w:val="40"/>
        </w:rPr>
      </w:pPr>
      <w:r>
        <w:rPr>
          <w:rFonts w:asciiTheme="majorHAnsi" w:hAnsiTheme="majorHAnsi"/>
          <w:sz w:val="40"/>
          <w:szCs w:val="40"/>
        </w:rPr>
        <w:t xml:space="preserve">Agency </w:t>
      </w:r>
    </w:p>
    <w:p w:rsidR="00FF2627" w:rsidRPr="00C15C7B" w:rsidRDefault="00FF2627" w:rsidP="00FF2627">
      <w:pPr>
        <w:jc w:val="center"/>
        <w:rPr>
          <w:rFonts w:asciiTheme="majorHAnsi" w:hAnsiTheme="majorHAnsi"/>
          <w:sz w:val="40"/>
          <w:szCs w:val="40"/>
        </w:rPr>
      </w:pPr>
      <w:r>
        <w:rPr>
          <w:rFonts w:asciiTheme="majorHAnsi" w:hAnsiTheme="majorHAnsi"/>
          <w:sz w:val="40"/>
          <w:szCs w:val="40"/>
        </w:rPr>
        <w:t>2018-2019</w:t>
      </w:r>
    </w:p>
    <w:p w:rsidR="00FF2627" w:rsidRPr="00C15C7B" w:rsidRDefault="00FF2627" w:rsidP="00FF2627">
      <w:pPr>
        <w:jc w:val="center"/>
        <w:rPr>
          <w:rFonts w:asciiTheme="majorHAnsi" w:hAnsiTheme="majorHAnsi"/>
          <w:sz w:val="40"/>
          <w:szCs w:val="40"/>
        </w:rPr>
      </w:pPr>
      <w:r w:rsidRPr="00C15C7B">
        <w:rPr>
          <w:rFonts w:asciiTheme="majorHAnsi" w:hAnsiTheme="majorHAnsi"/>
          <w:noProof/>
          <w:sz w:val="40"/>
          <w:szCs w:val="40"/>
        </w:rPr>
        <w:drawing>
          <wp:inline distT="0" distB="0" distL="0" distR="0">
            <wp:extent cx="5486400" cy="3200400"/>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273D91" w:rsidRDefault="00273D91" w:rsidP="00273D91">
      <w:pPr>
        <w:autoSpaceDE w:val="0"/>
        <w:autoSpaceDN w:val="0"/>
        <w:adjustRightInd w:val="0"/>
        <w:spacing w:before="120" w:after="120" w:line="360" w:lineRule="auto"/>
        <w:rPr>
          <w:rFonts w:asciiTheme="majorHAnsi" w:hAnsiTheme="majorHAnsi" w:cs="Arial"/>
          <w:sz w:val="24"/>
          <w:szCs w:val="24"/>
        </w:rPr>
      </w:pPr>
    </w:p>
    <w:p w:rsidR="00273D91" w:rsidRDefault="00273D91" w:rsidP="00273D91">
      <w:pPr>
        <w:autoSpaceDE w:val="0"/>
        <w:autoSpaceDN w:val="0"/>
        <w:adjustRightInd w:val="0"/>
        <w:spacing w:before="120" w:after="120" w:line="360" w:lineRule="auto"/>
        <w:rPr>
          <w:rFonts w:asciiTheme="majorHAnsi" w:hAnsiTheme="majorHAnsi" w:cs="Arial"/>
          <w:sz w:val="36"/>
          <w:szCs w:val="36"/>
        </w:rPr>
      </w:pPr>
      <w:r w:rsidRPr="00FF2627">
        <w:rPr>
          <w:rFonts w:asciiTheme="majorHAnsi" w:hAnsiTheme="majorHAnsi" w:cs="Arial"/>
          <w:sz w:val="36"/>
          <w:szCs w:val="36"/>
        </w:rPr>
        <w:t xml:space="preserve">At the end of the Fall Checkpoint 37% of children were meeting or exceeding wildly held expectations.  </w:t>
      </w:r>
    </w:p>
    <w:p w:rsidR="00FF2627" w:rsidRDefault="00FF2627" w:rsidP="00273D91">
      <w:pPr>
        <w:autoSpaceDE w:val="0"/>
        <w:autoSpaceDN w:val="0"/>
        <w:adjustRightInd w:val="0"/>
        <w:spacing w:before="120" w:after="120" w:line="360" w:lineRule="auto"/>
        <w:rPr>
          <w:rFonts w:asciiTheme="majorHAnsi" w:hAnsiTheme="majorHAnsi" w:cs="Arial"/>
          <w:sz w:val="36"/>
          <w:szCs w:val="36"/>
        </w:rPr>
      </w:pPr>
    </w:p>
    <w:p w:rsidR="00FF2627" w:rsidRDefault="00FF2627" w:rsidP="00273D91">
      <w:pPr>
        <w:autoSpaceDE w:val="0"/>
        <w:autoSpaceDN w:val="0"/>
        <w:adjustRightInd w:val="0"/>
        <w:spacing w:before="120" w:after="120" w:line="360" w:lineRule="auto"/>
        <w:rPr>
          <w:rFonts w:asciiTheme="majorHAnsi" w:hAnsiTheme="majorHAnsi" w:cs="Arial"/>
          <w:sz w:val="36"/>
          <w:szCs w:val="36"/>
        </w:rPr>
      </w:pPr>
    </w:p>
    <w:p w:rsidR="00FF2627" w:rsidRPr="00FF2627" w:rsidRDefault="00FF2627" w:rsidP="00273D91">
      <w:pPr>
        <w:autoSpaceDE w:val="0"/>
        <w:autoSpaceDN w:val="0"/>
        <w:adjustRightInd w:val="0"/>
        <w:spacing w:before="120" w:after="120" w:line="360" w:lineRule="auto"/>
        <w:rPr>
          <w:rFonts w:asciiTheme="majorHAnsi" w:hAnsiTheme="majorHAnsi" w:cs="Arial"/>
          <w:sz w:val="36"/>
          <w:szCs w:val="36"/>
        </w:rPr>
      </w:pPr>
    </w:p>
    <w:p w:rsidR="00273D91" w:rsidRDefault="00273D91" w:rsidP="00273D91">
      <w:pPr>
        <w:autoSpaceDE w:val="0"/>
        <w:autoSpaceDN w:val="0"/>
        <w:adjustRightInd w:val="0"/>
        <w:spacing w:before="120" w:after="120" w:line="360" w:lineRule="auto"/>
        <w:rPr>
          <w:rFonts w:asciiTheme="majorHAnsi" w:hAnsiTheme="majorHAnsi" w:cs="Arial"/>
          <w:sz w:val="24"/>
          <w:szCs w:val="24"/>
        </w:rPr>
      </w:pPr>
      <w:r>
        <w:rPr>
          <w:rFonts w:asciiTheme="majorHAnsi" w:hAnsiTheme="majorHAnsi" w:cs="Arial"/>
          <w:sz w:val="24"/>
          <w:szCs w:val="24"/>
        </w:rPr>
        <w:t>The chart below shows a breakdown of the demographics of the children that were assessed.</w:t>
      </w:r>
    </w:p>
    <w:tbl>
      <w:tblPr>
        <w:tblStyle w:val="TableGrid"/>
        <w:tblW w:w="0" w:type="auto"/>
        <w:tblLook w:val="04A0"/>
      </w:tblPr>
      <w:tblGrid>
        <w:gridCol w:w="1998"/>
        <w:gridCol w:w="7578"/>
      </w:tblGrid>
      <w:tr w:rsidR="00273D91" w:rsidTr="005E1687">
        <w:tc>
          <w:tcPr>
            <w:tcW w:w="1998" w:type="dxa"/>
          </w:tcPr>
          <w:p w:rsidR="00273D91" w:rsidRPr="002F7B53" w:rsidRDefault="00273D91" w:rsidP="005E1687">
            <w:pPr>
              <w:rPr>
                <w:rFonts w:ascii="Book Antiqua" w:hAnsi="Book Antiqua"/>
                <w:sz w:val="24"/>
                <w:szCs w:val="24"/>
              </w:rPr>
            </w:pPr>
            <w:r w:rsidRPr="002F7B53">
              <w:rPr>
                <w:rFonts w:ascii="Book Antiqua" w:hAnsi="Book Antiqua"/>
                <w:sz w:val="24"/>
                <w:szCs w:val="24"/>
              </w:rPr>
              <w:t>Gender:</w:t>
            </w:r>
          </w:p>
        </w:tc>
        <w:tc>
          <w:tcPr>
            <w:tcW w:w="7578" w:type="dxa"/>
          </w:tcPr>
          <w:p w:rsidR="00273D91" w:rsidRDefault="00273D91" w:rsidP="005E1687">
            <w:pPr>
              <w:rPr>
                <w:rFonts w:ascii="Book Antiqua" w:hAnsi="Book Antiqua"/>
              </w:rPr>
            </w:pPr>
            <w:r>
              <w:rPr>
                <w:rFonts w:ascii="Book Antiqua" w:hAnsi="Book Antiqua"/>
              </w:rPr>
              <w:t>Male: 47%</w:t>
            </w:r>
          </w:p>
          <w:p w:rsidR="00273D91" w:rsidRPr="002F7B53" w:rsidRDefault="00273D91" w:rsidP="005E1687">
            <w:pPr>
              <w:rPr>
                <w:rFonts w:ascii="Book Antiqua" w:hAnsi="Book Antiqua"/>
              </w:rPr>
            </w:pPr>
            <w:r>
              <w:rPr>
                <w:rFonts w:ascii="Book Antiqua" w:hAnsi="Book Antiqua"/>
              </w:rPr>
              <w:t>Female: 53%</w:t>
            </w:r>
          </w:p>
        </w:tc>
      </w:tr>
      <w:tr w:rsidR="00273D91" w:rsidTr="005E1687">
        <w:tc>
          <w:tcPr>
            <w:tcW w:w="1998" w:type="dxa"/>
          </w:tcPr>
          <w:p w:rsidR="00273D91" w:rsidRPr="002F7B53" w:rsidRDefault="00273D91" w:rsidP="005E1687">
            <w:pPr>
              <w:rPr>
                <w:rFonts w:ascii="Book Antiqua" w:hAnsi="Book Antiqua"/>
              </w:rPr>
            </w:pPr>
            <w:r>
              <w:rPr>
                <w:rFonts w:ascii="Book Antiqua" w:hAnsi="Book Antiqua"/>
              </w:rPr>
              <w:t>Race:</w:t>
            </w:r>
          </w:p>
        </w:tc>
        <w:tc>
          <w:tcPr>
            <w:tcW w:w="7578" w:type="dxa"/>
          </w:tcPr>
          <w:p w:rsidR="00273D91" w:rsidRDefault="00273D91" w:rsidP="005E1687">
            <w:pPr>
              <w:rPr>
                <w:rFonts w:ascii="Book Antiqua" w:hAnsi="Book Antiqua"/>
              </w:rPr>
            </w:pPr>
            <w:r>
              <w:rPr>
                <w:rFonts w:ascii="Book Antiqua" w:hAnsi="Book Antiqua"/>
              </w:rPr>
              <w:t>White: 29%</w:t>
            </w:r>
          </w:p>
          <w:p w:rsidR="00273D91" w:rsidRDefault="00273D91" w:rsidP="005E1687">
            <w:pPr>
              <w:rPr>
                <w:rFonts w:ascii="Book Antiqua" w:hAnsi="Book Antiqua"/>
              </w:rPr>
            </w:pPr>
            <w:r>
              <w:rPr>
                <w:rFonts w:ascii="Book Antiqua" w:hAnsi="Book Antiqua"/>
              </w:rPr>
              <w:t>Black or African American: 23%</w:t>
            </w:r>
          </w:p>
          <w:p w:rsidR="00273D91" w:rsidRDefault="00273D91" w:rsidP="005E1687">
            <w:pPr>
              <w:rPr>
                <w:rFonts w:ascii="Book Antiqua" w:hAnsi="Book Antiqua"/>
              </w:rPr>
            </w:pPr>
            <w:r>
              <w:rPr>
                <w:rFonts w:ascii="Book Antiqua" w:hAnsi="Book Antiqua"/>
              </w:rPr>
              <w:lastRenderedPageBreak/>
              <w:t>Burmese: 1%</w:t>
            </w:r>
          </w:p>
          <w:p w:rsidR="00273D91" w:rsidRDefault="00273D91" w:rsidP="005E1687">
            <w:pPr>
              <w:rPr>
                <w:rFonts w:ascii="Book Antiqua" w:hAnsi="Book Antiqua"/>
              </w:rPr>
            </w:pPr>
            <w:r>
              <w:rPr>
                <w:rFonts w:ascii="Book Antiqua" w:hAnsi="Book Antiqua"/>
              </w:rPr>
              <w:t>Other Asian: 1%</w:t>
            </w:r>
          </w:p>
          <w:p w:rsidR="00273D91" w:rsidRDefault="00273D91" w:rsidP="005E1687">
            <w:pPr>
              <w:rPr>
                <w:rFonts w:ascii="Book Antiqua" w:hAnsi="Book Antiqua"/>
              </w:rPr>
            </w:pPr>
            <w:r>
              <w:rPr>
                <w:rFonts w:ascii="Book Antiqua" w:hAnsi="Book Antiqua"/>
              </w:rPr>
              <w:t>American Indian or Alaska Native: 1%</w:t>
            </w:r>
          </w:p>
          <w:p w:rsidR="00273D91" w:rsidRDefault="00273D91" w:rsidP="005E1687">
            <w:pPr>
              <w:rPr>
                <w:rFonts w:ascii="Book Antiqua" w:hAnsi="Book Antiqua"/>
              </w:rPr>
            </w:pPr>
            <w:r>
              <w:rPr>
                <w:rFonts w:ascii="Book Antiqua" w:hAnsi="Book Antiqua"/>
              </w:rPr>
              <w:t>Two or more races: 2%</w:t>
            </w:r>
          </w:p>
          <w:p w:rsidR="00273D91" w:rsidRPr="002F7B53" w:rsidRDefault="00273D91" w:rsidP="005E1687">
            <w:pPr>
              <w:rPr>
                <w:rFonts w:ascii="Book Antiqua" w:hAnsi="Book Antiqua"/>
              </w:rPr>
            </w:pPr>
            <w:r>
              <w:rPr>
                <w:rFonts w:ascii="Book Antiqua" w:hAnsi="Book Antiqua"/>
              </w:rPr>
              <w:t>No response/unknown: 43%</w:t>
            </w:r>
          </w:p>
        </w:tc>
      </w:tr>
      <w:tr w:rsidR="00273D91" w:rsidTr="005E1687">
        <w:tc>
          <w:tcPr>
            <w:tcW w:w="1998" w:type="dxa"/>
          </w:tcPr>
          <w:p w:rsidR="00273D91" w:rsidRPr="002F7B53" w:rsidRDefault="00273D91" w:rsidP="005E1687">
            <w:pPr>
              <w:rPr>
                <w:rFonts w:ascii="Book Antiqua" w:hAnsi="Book Antiqua"/>
              </w:rPr>
            </w:pPr>
            <w:r>
              <w:rPr>
                <w:rFonts w:ascii="Book Antiqua" w:hAnsi="Book Antiqua"/>
              </w:rPr>
              <w:lastRenderedPageBreak/>
              <w:t>Ethnicity:</w:t>
            </w:r>
          </w:p>
        </w:tc>
        <w:tc>
          <w:tcPr>
            <w:tcW w:w="7578" w:type="dxa"/>
          </w:tcPr>
          <w:p w:rsidR="00273D91" w:rsidRDefault="00273D91" w:rsidP="005E1687">
            <w:pPr>
              <w:rPr>
                <w:rFonts w:ascii="Book Antiqua" w:hAnsi="Book Antiqua"/>
              </w:rPr>
            </w:pPr>
            <w:r>
              <w:rPr>
                <w:rFonts w:ascii="Book Antiqua" w:hAnsi="Book Antiqua"/>
              </w:rPr>
              <w:t>Not Spanish/Hispanic/Latino: 48%</w:t>
            </w:r>
          </w:p>
          <w:p w:rsidR="00273D91" w:rsidRDefault="00273D91" w:rsidP="005E1687">
            <w:pPr>
              <w:rPr>
                <w:rFonts w:ascii="Book Antiqua" w:hAnsi="Book Antiqua"/>
              </w:rPr>
            </w:pPr>
            <w:r>
              <w:rPr>
                <w:rFonts w:ascii="Book Antiqua" w:hAnsi="Book Antiqua"/>
              </w:rPr>
              <w:t>Puerto Rican: 32%</w:t>
            </w:r>
          </w:p>
          <w:p w:rsidR="00273D91" w:rsidRDefault="00273D91" w:rsidP="005E1687">
            <w:pPr>
              <w:rPr>
                <w:rFonts w:ascii="Book Antiqua" w:hAnsi="Book Antiqua"/>
              </w:rPr>
            </w:pPr>
            <w:r>
              <w:rPr>
                <w:rFonts w:ascii="Book Antiqua" w:hAnsi="Book Antiqua"/>
              </w:rPr>
              <w:t>Other Hispanic: 2%</w:t>
            </w:r>
          </w:p>
          <w:p w:rsidR="00273D91" w:rsidRDefault="00273D91" w:rsidP="005E1687">
            <w:pPr>
              <w:rPr>
                <w:rFonts w:ascii="Book Antiqua" w:hAnsi="Book Antiqua"/>
              </w:rPr>
            </w:pPr>
            <w:r>
              <w:rPr>
                <w:rFonts w:ascii="Book Antiqua" w:hAnsi="Book Antiqua"/>
              </w:rPr>
              <w:t>Unknown Hispanic: 3%</w:t>
            </w:r>
          </w:p>
          <w:p w:rsidR="00273D91" w:rsidRPr="002F7B53" w:rsidRDefault="00273D91" w:rsidP="005E1687">
            <w:pPr>
              <w:rPr>
                <w:rFonts w:ascii="Book Antiqua" w:hAnsi="Book Antiqua"/>
              </w:rPr>
            </w:pPr>
            <w:r>
              <w:rPr>
                <w:rFonts w:ascii="Book Antiqua" w:hAnsi="Book Antiqua"/>
              </w:rPr>
              <w:t>Unknown: 15%</w:t>
            </w:r>
          </w:p>
        </w:tc>
      </w:tr>
      <w:tr w:rsidR="00273D91" w:rsidTr="005E1687">
        <w:tc>
          <w:tcPr>
            <w:tcW w:w="1998" w:type="dxa"/>
          </w:tcPr>
          <w:p w:rsidR="00273D91" w:rsidRPr="002F7B53" w:rsidRDefault="00273D91" w:rsidP="005E1687">
            <w:pPr>
              <w:rPr>
                <w:rFonts w:ascii="Book Antiqua" w:hAnsi="Book Antiqua"/>
              </w:rPr>
            </w:pPr>
            <w:r>
              <w:rPr>
                <w:rFonts w:ascii="Book Antiqua" w:hAnsi="Book Antiqua"/>
              </w:rPr>
              <w:t>IEP:</w:t>
            </w:r>
          </w:p>
        </w:tc>
        <w:tc>
          <w:tcPr>
            <w:tcW w:w="7578" w:type="dxa"/>
          </w:tcPr>
          <w:p w:rsidR="00273D91" w:rsidRPr="002F7B53" w:rsidRDefault="008E7158" w:rsidP="005E1687">
            <w:pPr>
              <w:rPr>
                <w:rFonts w:ascii="Book Antiqua" w:hAnsi="Book Antiqua"/>
              </w:rPr>
            </w:pPr>
            <w:r>
              <w:rPr>
                <w:rFonts w:ascii="Book Antiqua" w:hAnsi="Book Antiqua"/>
              </w:rPr>
              <w:t>16.8</w:t>
            </w:r>
            <w:r w:rsidR="00273D91">
              <w:rPr>
                <w:rFonts w:ascii="Book Antiqua" w:hAnsi="Book Antiqua"/>
              </w:rPr>
              <w:t>%</w:t>
            </w:r>
          </w:p>
        </w:tc>
      </w:tr>
      <w:tr w:rsidR="00273D91" w:rsidTr="005E1687">
        <w:tc>
          <w:tcPr>
            <w:tcW w:w="1998" w:type="dxa"/>
          </w:tcPr>
          <w:p w:rsidR="00273D91" w:rsidRPr="002F7B53" w:rsidRDefault="00273D91" w:rsidP="005E1687">
            <w:pPr>
              <w:rPr>
                <w:rFonts w:ascii="Book Antiqua" w:hAnsi="Book Antiqua"/>
              </w:rPr>
            </w:pPr>
            <w:r>
              <w:rPr>
                <w:rFonts w:ascii="Book Antiqua" w:hAnsi="Book Antiqua"/>
              </w:rPr>
              <w:t>Age:</w:t>
            </w:r>
          </w:p>
        </w:tc>
        <w:tc>
          <w:tcPr>
            <w:tcW w:w="7578" w:type="dxa"/>
          </w:tcPr>
          <w:p w:rsidR="00273D91" w:rsidRDefault="00273D91" w:rsidP="005E1687">
            <w:pPr>
              <w:rPr>
                <w:rFonts w:ascii="Book Antiqua" w:hAnsi="Book Antiqua"/>
              </w:rPr>
            </w:pPr>
            <w:r>
              <w:rPr>
                <w:rFonts w:ascii="Book Antiqua" w:hAnsi="Book Antiqua"/>
              </w:rPr>
              <w:t>3 year olds: 54%</w:t>
            </w:r>
          </w:p>
          <w:p w:rsidR="00273D91" w:rsidRPr="002F7B53" w:rsidRDefault="00273D91" w:rsidP="005E1687">
            <w:pPr>
              <w:rPr>
                <w:rFonts w:ascii="Book Antiqua" w:hAnsi="Book Antiqua"/>
              </w:rPr>
            </w:pPr>
            <w:r>
              <w:rPr>
                <w:rFonts w:ascii="Book Antiqua" w:hAnsi="Book Antiqua"/>
              </w:rPr>
              <w:t>4 year olds: 46%</w:t>
            </w:r>
          </w:p>
        </w:tc>
      </w:tr>
      <w:tr w:rsidR="00273D91" w:rsidTr="005E1687">
        <w:tc>
          <w:tcPr>
            <w:tcW w:w="1998" w:type="dxa"/>
          </w:tcPr>
          <w:p w:rsidR="00273D91" w:rsidRPr="002F7B53" w:rsidRDefault="00273D91" w:rsidP="005E1687">
            <w:pPr>
              <w:rPr>
                <w:rFonts w:ascii="Book Antiqua" w:hAnsi="Book Antiqua"/>
              </w:rPr>
            </w:pPr>
            <w:r>
              <w:rPr>
                <w:rFonts w:ascii="Book Antiqua" w:hAnsi="Book Antiqua"/>
              </w:rPr>
              <w:t>Language:</w:t>
            </w:r>
          </w:p>
        </w:tc>
        <w:tc>
          <w:tcPr>
            <w:tcW w:w="7578" w:type="dxa"/>
          </w:tcPr>
          <w:p w:rsidR="00273D91" w:rsidRDefault="00273D91" w:rsidP="005E1687">
            <w:pPr>
              <w:rPr>
                <w:rFonts w:ascii="Book Antiqua" w:hAnsi="Book Antiqua"/>
              </w:rPr>
            </w:pPr>
            <w:r>
              <w:rPr>
                <w:rFonts w:ascii="Book Antiqua" w:hAnsi="Book Antiqua"/>
              </w:rPr>
              <w:t>English: 64%</w:t>
            </w:r>
          </w:p>
          <w:p w:rsidR="00273D91" w:rsidRDefault="00273D91" w:rsidP="005E1687">
            <w:pPr>
              <w:rPr>
                <w:rFonts w:ascii="Book Antiqua" w:hAnsi="Book Antiqua"/>
              </w:rPr>
            </w:pPr>
            <w:r>
              <w:rPr>
                <w:rFonts w:ascii="Book Antiqua" w:hAnsi="Book Antiqua"/>
              </w:rPr>
              <w:t>Spanish: 24%</w:t>
            </w:r>
          </w:p>
          <w:p w:rsidR="00273D91" w:rsidRDefault="00273D91" w:rsidP="005E1687">
            <w:pPr>
              <w:rPr>
                <w:rFonts w:ascii="Book Antiqua" w:hAnsi="Book Antiqua"/>
              </w:rPr>
            </w:pPr>
            <w:r>
              <w:rPr>
                <w:rFonts w:ascii="Book Antiqua" w:hAnsi="Book Antiqua"/>
              </w:rPr>
              <w:t>French: 1%</w:t>
            </w:r>
          </w:p>
          <w:p w:rsidR="00273D91" w:rsidRDefault="00273D91" w:rsidP="005E1687">
            <w:pPr>
              <w:rPr>
                <w:rFonts w:ascii="Book Antiqua" w:hAnsi="Book Antiqua"/>
              </w:rPr>
            </w:pPr>
            <w:r>
              <w:rPr>
                <w:rFonts w:ascii="Book Antiqua" w:hAnsi="Book Antiqua"/>
              </w:rPr>
              <w:t>Arabic: 3%</w:t>
            </w:r>
          </w:p>
          <w:p w:rsidR="00273D91" w:rsidRDefault="00273D91" w:rsidP="005E1687">
            <w:pPr>
              <w:rPr>
                <w:rFonts w:ascii="Book Antiqua" w:hAnsi="Book Antiqua"/>
              </w:rPr>
            </w:pPr>
            <w:r>
              <w:rPr>
                <w:rFonts w:ascii="Book Antiqua" w:hAnsi="Book Antiqua"/>
              </w:rPr>
              <w:t>Russian: 1%</w:t>
            </w:r>
          </w:p>
          <w:p w:rsidR="00273D91" w:rsidRDefault="00273D91" w:rsidP="005E1687">
            <w:pPr>
              <w:rPr>
                <w:rFonts w:ascii="Book Antiqua" w:hAnsi="Book Antiqua"/>
              </w:rPr>
            </w:pPr>
            <w:r>
              <w:rPr>
                <w:rFonts w:ascii="Book Antiqua" w:hAnsi="Book Antiqua"/>
              </w:rPr>
              <w:t>African: 1%</w:t>
            </w:r>
          </w:p>
          <w:p w:rsidR="00273D91" w:rsidRDefault="00273D91" w:rsidP="005E1687">
            <w:pPr>
              <w:rPr>
                <w:rFonts w:ascii="Book Antiqua" w:hAnsi="Book Antiqua"/>
              </w:rPr>
            </w:pPr>
            <w:r>
              <w:rPr>
                <w:rFonts w:ascii="Book Antiqua" w:hAnsi="Book Antiqua"/>
              </w:rPr>
              <w:t>Burmese: 2%</w:t>
            </w:r>
          </w:p>
          <w:p w:rsidR="00273D91" w:rsidRDefault="00273D91" w:rsidP="005E1687">
            <w:pPr>
              <w:rPr>
                <w:rFonts w:ascii="Book Antiqua" w:hAnsi="Book Antiqua"/>
              </w:rPr>
            </w:pPr>
            <w:r>
              <w:rPr>
                <w:rFonts w:ascii="Book Antiqua" w:hAnsi="Book Antiqua"/>
              </w:rPr>
              <w:t>Nepal: 1%</w:t>
            </w:r>
          </w:p>
          <w:p w:rsidR="00273D91" w:rsidRDefault="00273D91" w:rsidP="005E1687">
            <w:pPr>
              <w:rPr>
                <w:rFonts w:ascii="Book Antiqua" w:hAnsi="Book Antiqua"/>
              </w:rPr>
            </w:pPr>
            <w:r>
              <w:rPr>
                <w:rFonts w:ascii="Book Antiqua" w:hAnsi="Book Antiqua"/>
              </w:rPr>
              <w:t>Other: 3%</w:t>
            </w:r>
          </w:p>
          <w:p w:rsidR="00273D91" w:rsidRPr="002F7B53" w:rsidRDefault="00273D91" w:rsidP="005E1687">
            <w:pPr>
              <w:rPr>
                <w:rFonts w:ascii="Book Antiqua" w:hAnsi="Book Antiqua"/>
              </w:rPr>
            </w:pPr>
          </w:p>
        </w:tc>
      </w:tr>
    </w:tbl>
    <w:p w:rsidR="002762E3" w:rsidRDefault="002762E3"/>
    <w:p w:rsidR="00273D91" w:rsidRDefault="00273D91"/>
    <w:p w:rsidR="00273D91" w:rsidRDefault="00273D91" w:rsidP="00273D91">
      <w:pPr>
        <w:spacing w:before="100" w:beforeAutospacing="1" w:after="100" w:afterAutospacing="1" w:line="360" w:lineRule="auto"/>
        <w:rPr>
          <w:rFonts w:ascii="Book Antiqua" w:hAnsi="Book Antiqua"/>
          <w:sz w:val="24"/>
          <w:szCs w:val="24"/>
        </w:rPr>
      </w:pPr>
      <w:r>
        <w:rPr>
          <w:rFonts w:ascii="Book Antiqua" w:hAnsi="Book Antiqua"/>
          <w:sz w:val="24"/>
          <w:szCs w:val="24"/>
        </w:rPr>
        <w:t>The graphs below will show a breakdown of scores in the 6 areas of development and learning in Teaching Strategies Gold.  At the end of each checkpoint, the teachers meet with the families for conferences.  During that time goals are set and teachers begin to work on those goals for the children.</w:t>
      </w:r>
    </w:p>
    <w:p w:rsidR="00273D91" w:rsidRDefault="00273D91">
      <w:r w:rsidRPr="00273D91">
        <w:rPr>
          <w:noProof/>
        </w:rPr>
        <w:drawing>
          <wp:inline distT="0" distB="0" distL="0" distR="0">
            <wp:extent cx="2419350" cy="2114550"/>
            <wp:effectExtent l="19050" t="0" r="1905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73D91" w:rsidRDefault="00273D91">
      <w:r w:rsidRPr="00273D91">
        <w:rPr>
          <w:noProof/>
        </w:rPr>
        <w:drawing>
          <wp:inline distT="0" distB="0" distL="0" distR="0">
            <wp:extent cx="2457450" cy="2047875"/>
            <wp:effectExtent l="19050" t="0" r="19050"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73D91" w:rsidRDefault="00273D91">
      <w:r w:rsidRPr="00273D91">
        <w:rPr>
          <w:noProof/>
        </w:rPr>
        <w:drawing>
          <wp:inline distT="0" distB="0" distL="0" distR="0">
            <wp:extent cx="2514600" cy="2095500"/>
            <wp:effectExtent l="19050" t="0" r="19050" b="0"/>
            <wp:docPr id="1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73D91" w:rsidRDefault="00273D91">
      <w:r w:rsidRPr="00273D91">
        <w:rPr>
          <w:noProof/>
        </w:rPr>
        <w:drawing>
          <wp:inline distT="0" distB="0" distL="0" distR="0">
            <wp:extent cx="2514600" cy="2190750"/>
            <wp:effectExtent l="19050" t="0" r="19050" b="0"/>
            <wp:docPr id="1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73D91" w:rsidRDefault="00273D91">
      <w:r w:rsidRPr="00273D91">
        <w:rPr>
          <w:noProof/>
        </w:rPr>
        <w:drawing>
          <wp:inline distT="0" distB="0" distL="0" distR="0">
            <wp:extent cx="2457450" cy="2095500"/>
            <wp:effectExtent l="19050" t="0" r="19050" b="0"/>
            <wp:docPr id="2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73D91" w:rsidRDefault="00273D91">
      <w:r w:rsidRPr="00273D91">
        <w:rPr>
          <w:noProof/>
        </w:rPr>
        <w:drawing>
          <wp:inline distT="0" distB="0" distL="0" distR="0">
            <wp:extent cx="2476500" cy="2066925"/>
            <wp:effectExtent l="19050" t="0" r="19050" b="0"/>
            <wp:docPr id="2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273D91" w:rsidSect="002762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3D91"/>
    <w:rsid w:val="00273D91"/>
    <w:rsid w:val="002762E3"/>
    <w:rsid w:val="0033022D"/>
    <w:rsid w:val="005561BE"/>
    <w:rsid w:val="008E7158"/>
    <w:rsid w:val="00FF26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D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3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3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D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3" Type="http://schemas.openxmlformats.org/officeDocument/2006/relationships/webSettings" Target="webSettings.xml"/><Relationship Id="rId7" Type="http://schemas.openxmlformats.org/officeDocument/2006/relationships/chart" Target="charts/chart4.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fontTable" Target="fontTable.xml"/><Relationship Id="rId5" Type="http://schemas.openxmlformats.org/officeDocument/2006/relationships/chart" Target="charts/chart2.xml"/><Relationship Id="rId10" Type="http://schemas.openxmlformats.org/officeDocument/2006/relationships/chart" Target="charts/chart7.xml"/><Relationship Id="rId4" Type="http://schemas.openxmlformats.org/officeDocument/2006/relationships/chart" Target="charts/chart1.xml"/><Relationship Id="rId9"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Progressing</c:v>
                </c:pt>
              </c:strCache>
            </c:strRef>
          </c:tx>
          <c:cat>
            <c:strRef>
              <c:f>Sheet1!$A$2:$A$7</c:f>
              <c:strCache>
                <c:ptCount val="6"/>
                <c:pt idx="0">
                  <c:v>SE</c:v>
                </c:pt>
                <c:pt idx="1">
                  <c:v>Physical</c:v>
                </c:pt>
                <c:pt idx="2">
                  <c:v>Lang</c:v>
                </c:pt>
                <c:pt idx="3">
                  <c:v>Cog</c:v>
                </c:pt>
                <c:pt idx="4">
                  <c:v>Lit</c:v>
                </c:pt>
                <c:pt idx="5">
                  <c:v>Math</c:v>
                </c:pt>
              </c:strCache>
            </c:strRef>
          </c:cat>
          <c:val>
            <c:numRef>
              <c:f>Sheet1!$B$2:$B$7</c:f>
              <c:numCache>
                <c:formatCode>0%</c:formatCode>
                <c:ptCount val="6"/>
                <c:pt idx="0">
                  <c:v>0.56999999999999995</c:v>
                </c:pt>
                <c:pt idx="1">
                  <c:v>0.5</c:v>
                </c:pt>
                <c:pt idx="2">
                  <c:v>0.56000000000000005</c:v>
                </c:pt>
                <c:pt idx="3">
                  <c:v>0.67000000000000048</c:v>
                </c:pt>
                <c:pt idx="4">
                  <c:v>0.69000000000000028</c:v>
                </c:pt>
                <c:pt idx="5">
                  <c:v>0.79</c:v>
                </c:pt>
              </c:numCache>
            </c:numRef>
          </c:val>
        </c:ser>
        <c:ser>
          <c:idx val="1"/>
          <c:order val="1"/>
          <c:tx>
            <c:strRef>
              <c:f>Sheet1!$C$1</c:f>
              <c:strCache>
                <c:ptCount val="1"/>
                <c:pt idx="0">
                  <c:v>Meeting</c:v>
                </c:pt>
              </c:strCache>
            </c:strRef>
          </c:tx>
          <c:cat>
            <c:strRef>
              <c:f>Sheet1!$A$2:$A$7</c:f>
              <c:strCache>
                <c:ptCount val="6"/>
                <c:pt idx="0">
                  <c:v>SE</c:v>
                </c:pt>
                <c:pt idx="1">
                  <c:v>Physical</c:v>
                </c:pt>
                <c:pt idx="2">
                  <c:v>Lang</c:v>
                </c:pt>
                <c:pt idx="3">
                  <c:v>Cog</c:v>
                </c:pt>
                <c:pt idx="4">
                  <c:v>Lit</c:v>
                </c:pt>
                <c:pt idx="5">
                  <c:v>Math</c:v>
                </c:pt>
              </c:strCache>
            </c:strRef>
          </c:cat>
          <c:val>
            <c:numRef>
              <c:f>Sheet1!$C$2:$C$7</c:f>
              <c:numCache>
                <c:formatCode>0%</c:formatCode>
                <c:ptCount val="6"/>
                <c:pt idx="0">
                  <c:v>0.4</c:v>
                </c:pt>
                <c:pt idx="1">
                  <c:v>0.49000000000000016</c:v>
                </c:pt>
                <c:pt idx="2">
                  <c:v>0.42000000000000015</c:v>
                </c:pt>
                <c:pt idx="3">
                  <c:v>0.33000000000000024</c:v>
                </c:pt>
                <c:pt idx="4">
                  <c:v>0.31000000000000016</c:v>
                </c:pt>
                <c:pt idx="5">
                  <c:v>0.2</c:v>
                </c:pt>
              </c:numCache>
            </c:numRef>
          </c:val>
        </c:ser>
        <c:ser>
          <c:idx val="2"/>
          <c:order val="2"/>
          <c:tx>
            <c:strRef>
              <c:f>Sheet1!$D$1</c:f>
              <c:strCache>
                <c:ptCount val="1"/>
                <c:pt idx="0">
                  <c:v>Exceeding</c:v>
                </c:pt>
              </c:strCache>
            </c:strRef>
          </c:tx>
          <c:cat>
            <c:strRef>
              <c:f>Sheet1!$A$2:$A$7</c:f>
              <c:strCache>
                <c:ptCount val="6"/>
                <c:pt idx="0">
                  <c:v>SE</c:v>
                </c:pt>
                <c:pt idx="1">
                  <c:v>Physical</c:v>
                </c:pt>
                <c:pt idx="2">
                  <c:v>Lang</c:v>
                </c:pt>
                <c:pt idx="3">
                  <c:v>Cog</c:v>
                </c:pt>
                <c:pt idx="4">
                  <c:v>Lit</c:v>
                </c:pt>
                <c:pt idx="5">
                  <c:v>Math</c:v>
                </c:pt>
              </c:strCache>
            </c:strRef>
          </c:cat>
          <c:val>
            <c:numRef>
              <c:f>Sheet1!$D$2:$D$7</c:f>
              <c:numCache>
                <c:formatCode>0%</c:formatCode>
                <c:ptCount val="6"/>
                <c:pt idx="0">
                  <c:v>2.0000000000000011E-2</c:v>
                </c:pt>
                <c:pt idx="1">
                  <c:v>2.0000000000000011E-2</c:v>
                </c:pt>
                <c:pt idx="2">
                  <c:v>2.0000000000000011E-2</c:v>
                </c:pt>
                <c:pt idx="3">
                  <c:v>0</c:v>
                </c:pt>
                <c:pt idx="4">
                  <c:v>0</c:v>
                </c:pt>
                <c:pt idx="5">
                  <c:v>1.0000000000000005E-2</c:v>
                </c:pt>
              </c:numCache>
            </c:numRef>
          </c:val>
        </c:ser>
        <c:axId val="123964032"/>
        <c:axId val="123974016"/>
      </c:barChart>
      <c:catAx>
        <c:axId val="123964032"/>
        <c:scaling>
          <c:orientation val="minMax"/>
        </c:scaling>
        <c:axPos val="b"/>
        <c:tickLblPos val="nextTo"/>
        <c:crossAx val="123974016"/>
        <c:crosses val="autoZero"/>
        <c:auto val="1"/>
        <c:lblAlgn val="ctr"/>
        <c:lblOffset val="100"/>
      </c:catAx>
      <c:valAx>
        <c:axId val="123974016"/>
        <c:scaling>
          <c:orientation val="minMax"/>
        </c:scaling>
        <c:axPos val="l"/>
        <c:majorGridlines/>
        <c:numFmt formatCode="0%" sourceLinked="1"/>
        <c:tickLblPos val="nextTo"/>
        <c:crossAx val="123964032"/>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clustered"/>
        <c:ser>
          <c:idx val="0"/>
          <c:order val="0"/>
          <c:tx>
            <c:strRef>
              <c:f>Sheet1!$B$1</c:f>
              <c:strCache>
                <c:ptCount val="1"/>
                <c:pt idx="0">
                  <c:v>Progressing</c:v>
                </c:pt>
              </c:strCache>
            </c:strRef>
          </c:tx>
          <c:cat>
            <c:strRef>
              <c:f>Sheet1!$A$2:$A$5</c:f>
              <c:strCache>
                <c:ptCount val="1"/>
                <c:pt idx="0">
                  <c:v>Social Emotional-fall</c:v>
                </c:pt>
              </c:strCache>
            </c:strRef>
          </c:cat>
          <c:val>
            <c:numRef>
              <c:f>Sheet1!$B$2:$B$5</c:f>
              <c:numCache>
                <c:formatCode>General</c:formatCode>
                <c:ptCount val="4"/>
                <c:pt idx="0">
                  <c:v>57</c:v>
                </c:pt>
              </c:numCache>
            </c:numRef>
          </c:val>
        </c:ser>
        <c:ser>
          <c:idx val="1"/>
          <c:order val="1"/>
          <c:tx>
            <c:strRef>
              <c:f>Sheet1!$C$1</c:f>
              <c:strCache>
                <c:ptCount val="1"/>
                <c:pt idx="0">
                  <c:v>Meeting</c:v>
                </c:pt>
              </c:strCache>
            </c:strRef>
          </c:tx>
          <c:cat>
            <c:strRef>
              <c:f>Sheet1!$A$2:$A$5</c:f>
              <c:strCache>
                <c:ptCount val="1"/>
                <c:pt idx="0">
                  <c:v>Social Emotional-fall</c:v>
                </c:pt>
              </c:strCache>
            </c:strRef>
          </c:cat>
          <c:val>
            <c:numRef>
              <c:f>Sheet1!$C$2:$C$5</c:f>
              <c:numCache>
                <c:formatCode>General</c:formatCode>
                <c:ptCount val="4"/>
                <c:pt idx="0">
                  <c:v>40</c:v>
                </c:pt>
              </c:numCache>
            </c:numRef>
          </c:val>
        </c:ser>
        <c:ser>
          <c:idx val="2"/>
          <c:order val="2"/>
          <c:tx>
            <c:strRef>
              <c:f>Sheet1!$D$1</c:f>
              <c:strCache>
                <c:ptCount val="1"/>
                <c:pt idx="0">
                  <c:v>Exceeding</c:v>
                </c:pt>
              </c:strCache>
            </c:strRef>
          </c:tx>
          <c:cat>
            <c:strRef>
              <c:f>Sheet1!$A$2:$A$5</c:f>
              <c:strCache>
                <c:ptCount val="1"/>
                <c:pt idx="0">
                  <c:v>Social Emotional-fall</c:v>
                </c:pt>
              </c:strCache>
            </c:strRef>
          </c:cat>
          <c:val>
            <c:numRef>
              <c:f>Sheet1!$D$2:$D$5</c:f>
              <c:numCache>
                <c:formatCode>General</c:formatCode>
                <c:ptCount val="4"/>
                <c:pt idx="0">
                  <c:v>4</c:v>
                </c:pt>
              </c:numCache>
            </c:numRef>
          </c:val>
        </c:ser>
        <c:axId val="27686784"/>
        <c:axId val="27688320"/>
      </c:barChart>
      <c:catAx>
        <c:axId val="27686784"/>
        <c:scaling>
          <c:orientation val="minMax"/>
        </c:scaling>
        <c:axPos val="b"/>
        <c:tickLblPos val="nextTo"/>
        <c:crossAx val="27688320"/>
        <c:crosses val="autoZero"/>
        <c:auto val="1"/>
        <c:lblAlgn val="ctr"/>
        <c:lblOffset val="100"/>
      </c:catAx>
      <c:valAx>
        <c:axId val="27688320"/>
        <c:scaling>
          <c:orientation val="minMax"/>
        </c:scaling>
        <c:axPos val="l"/>
        <c:majorGridlines/>
        <c:numFmt formatCode="General" sourceLinked="1"/>
        <c:tickLblPos val="nextTo"/>
        <c:crossAx val="27686784"/>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Progressing</c:v>
                </c:pt>
              </c:strCache>
            </c:strRef>
          </c:tx>
          <c:cat>
            <c:strRef>
              <c:f>Sheet1!$A$2:$A$5</c:f>
              <c:strCache>
                <c:ptCount val="1"/>
                <c:pt idx="0">
                  <c:v>Physical-fall</c:v>
                </c:pt>
              </c:strCache>
            </c:strRef>
          </c:cat>
          <c:val>
            <c:numRef>
              <c:f>Sheet1!$B$2:$B$5</c:f>
              <c:numCache>
                <c:formatCode>General</c:formatCode>
                <c:ptCount val="4"/>
                <c:pt idx="0">
                  <c:v>50</c:v>
                </c:pt>
              </c:numCache>
            </c:numRef>
          </c:val>
        </c:ser>
        <c:ser>
          <c:idx val="1"/>
          <c:order val="1"/>
          <c:tx>
            <c:strRef>
              <c:f>Sheet1!$C$1</c:f>
              <c:strCache>
                <c:ptCount val="1"/>
                <c:pt idx="0">
                  <c:v>Meeting</c:v>
                </c:pt>
              </c:strCache>
            </c:strRef>
          </c:tx>
          <c:cat>
            <c:strRef>
              <c:f>Sheet1!$A$2:$A$5</c:f>
              <c:strCache>
                <c:ptCount val="1"/>
                <c:pt idx="0">
                  <c:v>Physical-fall</c:v>
                </c:pt>
              </c:strCache>
            </c:strRef>
          </c:cat>
          <c:val>
            <c:numRef>
              <c:f>Sheet1!$C$2:$C$5</c:f>
              <c:numCache>
                <c:formatCode>General</c:formatCode>
                <c:ptCount val="4"/>
                <c:pt idx="0">
                  <c:v>46</c:v>
                </c:pt>
              </c:numCache>
            </c:numRef>
          </c:val>
        </c:ser>
        <c:ser>
          <c:idx val="2"/>
          <c:order val="2"/>
          <c:tx>
            <c:strRef>
              <c:f>Sheet1!$D$1</c:f>
              <c:strCache>
                <c:ptCount val="1"/>
                <c:pt idx="0">
                  <c:v>Exceeding</c:v>
                </c:pt>
              </c:strCache>
            </c:strRef>
          </c:tx>
          <c:cat>
            <c:strRef>
              <c:f>Sheet1!$A$2:$A$5</c:f>
              <c:strCache>
                <c:ptCount val="1"/>
                <c:pt idx="0">
                  <c:v>Physical-fall</c:v>
                </c:pt>
              </c:strCache>
            </c:strRef>
          </c:cat>
          <c:val>
            <c:numRef>
              <c:f>Sheet1!$D$2:$D$5</c:f>
              <c:numCache>
                <c:formatCode>General</c:formatCode>
                <c:ptCount val="4"/>
                <c:pt idx="0">
                  <c:v>2</c:v>
                </c:pt>
              </c:numCache>
            </c:numRef>
          </c:val>
        </c:ser>
        <c:axId val="75956992"/>
        <c:axId val="75958528"/>
      </c:barChart>
      <c:catAx>
        <c:axId val="75956992"/>
        <c:scaling>
          <c:orientation val="minMax"/>
        </c:scaling>
        <c:axPos val="b"/>
        <c:tickLblPos val="nextTo"/>
        <c:crossAx val="75958528"/>
        <c:crosses val="autoZero"/>
        <c:auto val="1"/>
        <c:lblAlgn val="ctr"/>
        <c:lblOffset val="100"/>
      </c:catAx>
      <c:valAx>
        <c:axId val="75958528"/>
        <c:scaling>
          <c:orientation val="minMax"/>
        </c:scaling>
        <c:axPos val="l"/>
        <c:majorGridlines/>
        <c:numFmt formatCode="General" sourceLinked="1"/>
        <c:tickLblPos val="nextTo"/>
        <c:crossAx val="75956992"/>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Progressing</c:v>
                </c:pt>
              </c:strCache>
            </c:strRef>
          </c:tx>
          <c:cat>
            <c:strRef>
              <c:f>Sheet1!$A$2:$A$5</c:f>
              <c:strCache>
                <c:ptCount val="1"/>
                <c:pt idx="0">
                  <c:v>Language-fall</c:v>
                </c:pt>
              </c:strCache>
            </c:strRef>
          </c:cat>
          <c:val>
            <c:numRef>
              <c:f>Sheet1!$B$2:$B$5</c:f>
              <c:numCache>
                <c:formatCode>General</c:formatCode>
                <c:ptCount val="4"/>
                <c:pt idx="0">
                  <c:v>56</c:v>
                </c:pt>
              </c:numCache>
            </c:numRef>
          </c:val>
        </c:ser>
        <c:ser>
          <c:idx val="1"/>
          <c:order val="1"/>
          <c:tx>
            <c:strRef>
              <c:f>Sheet1!$C$1</c:f>
              <c:strCache>
                <c:ptCount val="1"/>
                <c:pt idx="0">
                  <c:v>Meeting</c:v>
                </c:pt>
              </c:strCache>
            </c:strRef>
          </c:tx>
          <c:cat>
            <c:strRef>
              <c:f>Sheet1!$A$2:$A$5</c:f>
              <c:strCache>
                <c:ptCount val="1"/>
                <c:pt idx="0">
                  <c:v>Language-fall</c:v>
                </c:pt>
              </c:strCache>
            </c:strRef>
          </c:cat>
          <c:val>
            <c:numRef>
              <c:f>Sheet1!$C$2:$C$5</c:f>
              <c:numCache>
                <c:formatCode>General</c:formatCode>
                <c:ptCount val="4"/>
                <c:pt idx="0">
                  <c:v>42</c:v>
                </c:pt>
              </c:numCache>
            </c:numRef>
          </c:val>
        </c:ser>
        <c:ser>
          <c:idx val="2"/>
          <c:order val="2"/>
          <c:tx>
            <c:strRef>
              <c:f>Sheet1!$D$1</c:f>
              <c:strCache>
                <c:ptCount val="1"/>
                <c:pt idx="0">
                  <c:v>Exceeding</c:v>
                </c:pt>
              </c:strCache>
            </c:strRef>
          </c:tx>
          <c:cat>
            <c:strRef>
              <c:f>Sheet1!$A$2:$A$5</c:f>
              <c:strCache>
                <c:ptCount val="1"/>
                <c:pt idx="0">
                  <c:v>Language-fall</c:v>
                </c:pt>
              </c:strCache>
            </c:strRef>
          </c:cat>
          <c:val>
            <c:numRef>
              <c:f>Sheet1!$D$2:$D$5</c:f>
              <c:numCache>
                <c:formatCode>General</c:formatCode>
                <c:ptCount val="4"/>
                <c:pt idx="0">
                  <c:v>2</c:v>
                </c:pt>
              </c:numCache>
            </c:numRef>
          </c:val>
        </c:ser>
        <c:axId val="78019584"/>
        <c:axId val="78033664"/>
      </c:barChart>
      <c:catAx>
        <c:axId val="78019584"/>
        <c:scaling>
          <c:orientation val="minMax"/>
        </c:scaling>
        <c:axPos val="b"/>
        <c:tickLblPos val="nextTo"/>
        <c:crossAx val="78033664"/>
        <c:crosses val="autoZero"/>
        <c:auto val="1"/>
        <c:lblAlgn val="ctr"/>
        <c:lblOffset val="100"/>
      </c:catAx>
      <c:valAx>
        <c:axId val="78033664"/>
        <c:scaling>
          <c:orientation val="minMax"/>
        </c:scaling>
        <c:axPos val="l"/>
        <c:majorGridlines/>
        <c:numFmt formatCode="General" sourceLinked="1"/>
        <c:tickLblPos val="nextTo"/>
        <c:crossAx val="78019584"/>
        <c:crosses val="autoZero"/>
        <c:crossBetween val="between"/>
      </c:valAx>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Progressing</c:v>
                </c:pt>
              </c:strCache>
            </c:strRef>
          </c:tx>
          <c:cat>
            <c:strRef>
              <c:f>Sheet1!$A$2:$A$5</c:f>
              <c:strCache>
                <c:ptCount val="1"/>
                <c:pt idx="0">
                  <c:v>Cognitive-fall</c:v>
                </c:pt>
              </c:strCache>
            </c:strRef>
          </c:cat>
          <c:val>
            <c:numRef>
              <c:f>Sheet1!$B$2:$B$5</c:f>
              <c:numCache>
                <c:formatCode>General</c:formatCode>
                <c:ptCount val="4"/>
                <c:pt idx="0">
                  <c:v>67</c:v>
                </c:pt>
              </c:numCache>
            </c:numRef>
          </c:val>
        </c:ser>
        <c:ser>
          <c:idx val="1"/>
          <c:order val="1"/>
          <c:tx>
            <c:strRef>
              <c:f>Sheet1!$C$1</c:f>
              <c:strCache>
                <c:ptCount val="1"/>
                <c:pt idx="0">
                  <c:v>Meeting</c:v>
                </c:pt>
              </c:strCache>
            </c:strRef>
          </c:tx>
          <c:cat>
            <c:strRef>
              <c:f>Sheet1!$A$2:$A$5</c:f>
              <c:strCache>
                <c:ptCount val="1"/>
                <c:pt idx="0">
                  <c:v>Cognitive-fall</c:v>
                </c:pt>
              </c:strCache>
            </c:strRef>
          </c:cat>
          <c:val>
            <c:numRef>
              <c:f>Sheet1!$C$2:$C$5</c:f>
              <c:numCache>
                <c:formatCode>General</c:formatCode>
                <c:ptCount val="4"/>
                <c:pt idx="0">
                  <c:v>33</c:v>
                </c:pt>
              </c:numCache>
            </c:numRef>
          </c:val>
        </c:ser>
        <c:ser>
          <c:idx val="2"/>
          <c:order val="2"/>
          <c:tx>
            <c:strRef>
              <c:f>Sheet1!$D$1</c:f>
              <c:strCache>
                <c:ptCount val="1"/>
                <c:pt idx="0">
                  <c:v>Exceeding</c:v>
                </c:pt>
              </c:strCache>
            </c:strRef>
          </c:tx>
          <c:cat>
            <c:strRef>
              <c:f>Sheet1!$A$2:$A$5</c:f>
              <c:strCache>
                <c:ptCount val="1"/>
                <c:pt idx="0">
                  <c:v>Cognitive-fall</c:v>
                </c:pt>
              </c:strCache>
            </c:strRef>
          </c:cat>
          <c:val>
            <c:numRef>
              <c:f>Sheet1!$D$2:$D$5</c:f>
              <c:numCache>
                <c:formatCode>General</c:formatCode>
                <c:ptCount val="4"/>
                <c:pt idx="0">
                  <c:v>0</c:v>
                </c:pt>
              </c:numCache>
            </c:numRef>
          </c:val>
        </c:ser>
        <c:axId val="78087680"/>
        <c:axId val="78089216"/>
      </c:barChart>
      <c:catAx>
        <c:axId val="78087680"/>
        <c:scaling>
          <c:orientation val="minMax"/>
        </c:scaling>
        <c:axPos val="b"/>
        <c:tickLblPos val="nextTo"/>
        <c:crossAx val="78089216"/>
        <c:crosses val="autoZero"/>
        <c:auto val="1"/>
        <c:lblAlgn val="ctr"/>
        <c:lblOffset val="100"/>
      </c:catAx>
      <c:valAx>
        <c:axId val="78089216"/>
        <c:scaling>
          <c:orientation val="minMax"/>
        </c:scaling>
        <c:axPos val="l"/>
        <c:majorGridlines/>
        <c:numFmt formatCode="General" sourceLinked="1"/>
        <c:tickLblPos val="nextTo"/>
        <c:crossAx val="78087680"/>
        <c:crosses val="autoZero"/>
        <c:crossBetween val="between"/>
      </c:valAx>
    </c:plotArea>
    <c:legend>
      <c:legendPos val="r"/>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Progressing</c:v>
                </c:pt>
              </c:strCache>
            </c:strRef>
          </c:tx>
          <c:cat>
            <c:strRef>
              <c:f>Sheet1!$A$2:$A$5</c:f>
              <c:strCache>
                <c:ptCount val="1"/>
                <c:pt idx="0">
                  <c:v>Literacy-fall</c:v>
                </c:pt>
              </c:strCache>
            </c:strRef>
          </c:cat>
          <c:val>
            <c:numRef>
              <c:f>Sheet1!$B$2:$B$5</c:f>
              <c:numCache>
                <c:formatCode>General</c:formatCode>
                <c:ptCount val="4"/>
                <c:pt idx="0">
                  <c:v>69</c:v>
                </c:pt>
              </c:numCache>
            </c:numRef>
          </c:val>
        </c:ser>
        <c:ser>
          <c:idx val="1"/>
          <c:order val="1"/>
          <c:tx>
            <c:strRef>
              <c:f>Sheet1!$C$1</c:f>
              <c:strCache>
                <c:ptCount val="1"/>
                <c:pt idx="0">
                  <c:v>Meeting</c:v>
                </c:pt>
              </c:strCache>
            </c:strRef>
          </c:tx>
          <c:cat>
            <c:strRef>
              <c:f>Sheet1!$A$2:$A$5</c:f>
              <c:strCache>
                <c:ptCount val="1"/>
                <c:pt idx="0">
                  <c:v>Literacy-fall</c:v>
                </c:pt>
              </c:strCache>
            </c:strRef>
          </c:cat>
          <c:val>
            <c:numRef>
              <c:f>Sheet1!$C$2:$C$5</c:f>
              <c:numCache>
                <c:formatCode>General</c:formatCode>
                <c:ptCount val="4"/>
                <c:pt idx="0">
                  <c:v>31</c:v>
                </c:pt>
              </c:numCache>
            </c:numRef>
          </c:val>
        </c:ser>
        <c:ser>
          <c:idx val="2"/>
          <c:order val="2"/>
          <c:tx>
            <c:strRef>
              <c:f>Sheet1!$D$1</c:f>
              <c:strCache>
                <c:ptCount val="1"/>
                <c:pt idx="0">
                  <c:v>Exceeding</c:v>
                </c:pt>
              </c:strCache>
            </c:strRef>
          </c:tx>
          <c:cat>
            <c:strRef>
              <c:f>Sheet1!$A$2:$A$5</c:f>
              <c:strCache>
                <c:ptCount val="1"/>
                <c:pt idx="0">
                  <c:v>Literacy-fall</c:v>
                </c:pt>
              </c:strCache>
            </c:strRef>
          </c:cat>
          <c:val>
            <c:numRef>
              <c:f>Sheet1!$D$2:$D$5</c:f>
              <c:numCache>
                <c:formatCode>General</c:formatCode>
                <c:ptCount val="4"/>
                <c:pt idx="0">
                  <c:v>0</c:v>
                </c:pt>
              </c:numCache>
            </c:numRef>
          </c:val>
        </c:ser>
        <c:axId val="78114816"/>
        <c:axId val="78116352"/>
      </c:barChart>
      <c:catAx>
        <c:axId val="78114816"/>
        <c:scaling>
          <c:orientation val="minMax"/>
        </c:scaling>
        <c:axPos val="b"/>
        <c:tickLblPos val="nextTo"/>
        <c:crossAx val="78116352"/>
        <c:crosses val="autoZero"/>
        <c:auto val="1"/>
        <c:lblAlgn val="ctr"/>
        <c:lblOffset val="100"/>
      </c:catAx>
      <c:valAx>
        <c:axId val="78116352"/>
        <c:scaling>
          <c:orientation val="minMax"/>
        </c:scaling>
        <c:axPos val="l"/>
        <c:majorGridlines/>
        <c:numFmt formatCode="General" sourceLinked="1"/>
        <c:tickLblPos val="nextTo"/>
        <c:crossAx val="78114816"/>
        <c:crosses val="autoZero"/>
        <c:crossBetween val="between"/>
      </c:valAx>
    </c:plotArea>
    <c:legend>
      <c:legendPos val="r"/>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Progressing</c:v>
                </c:pt>
              </c:strCache>
            </c:strRef>
          </c:tx>
          <c:cat>
            <c:strRef>
              <c:f>Sheet1!$A$2:$A$5</c:f>
              <c:strCache>
                <c:ptCount val="1"/>
                <c:pt idx="0">
                  <c:v>Mathematics-fall</c:v>
                </c:pt>
              </c:strCache>
            </c:strRef>
          </c:cat>
          <c:val>
            <c:numRef>
              <c:f>Sheet1!$B$2:$B$5</c:f>
              <c:numCache>
                <c:formatCode>General</c:formatCode>
                <c:ptCount val="4"/>
                <c:pt idx="0">
                  <c:v>79</c:v>
                </c:pt>
              </c:numCache>
            </c:numRef>
          </c:val>
        </c:ser>
        <c:ser>
          <c:idx val="1"/>
          <c:order val="1"/>
          <c:tx>
            <c:strRef>
              <c:f>Sheet1!$C$1</c:f>
              <c:strCache>
                <c:ptCount val="1"/>
                <c:pt idx="0">
                  <c:v>Meeting</c:v>
                </c:pt>
              </c:strCache>
            </c:strRef>
          </c:tx>
          <c:cat>
            <c:strRef>
              <c:f>Sheet1!$A$2:$A$5</c:f>
              <c:strCache>
                <c:ptCount val="1"/>
                <c:pt idx="0">
                  <c:v>Mathematics-fall</c:v>
                </c:pt>
              </c:strCache>
            </c:strRef>
          </c:cat>
          <c:val>
            <c:numRef>
              <c:f>Sheet1!$C$2:$C$5</c:f>
              <c:numCache>
                <c:formatCode>General</c:formatCode>
                <c:ptCount val="4"/>
                <c:pt idx="0">
                  <c:v>20</c:v>
                </c:pt>
              </c:numCache>
            </c:numRef>
          </c:val>
        </c:ser>
        <c:ser>
          <c:idx val="2"/>
          <c:order val="2"/>
          <c:tx>
            <c:strRef>
              <c:f>Sheet1!$D$1</c:f>
              <c:strCache>
                <c:ptCount val="1"/>
                <c:pt idx="0">
                  <c:v>Exceeding</c:v>
                </c:pt>
              </c:strCache>
            </c:strRef>
          </c:tx>
          <c:cat>
            <c:strRef>
              <c:f>Sheet1!$A$2:$A$5</c:f>
              <c:strCache>
                <c:ptCount val="1"/>
                <c:pt idx="0">
                  <c:v>Mathematics-fall</c:v>
                </c:pt>
              </c:strCache>
            </c:strRef>
          </c:cat>
          <c:val>
            <c:numRef>
              <c:f>Sheet1!$D$2:$D$5</c:f>
              <c:numCache>
                <c:formatCode>General</c:formatCode>
                <c:ptCount val="4"/>
                <c:pt idx="0">
                  <c:v>1</c:v>
                </c:pt>
              </c:numCache>
            </c:numRef>
          </c:val>
        </c:ser>
        <c:axId val="78158080"/>
        <c:axId val="78159872"/>
      </c:barChart>
      <c:catAx>
        <c:axId val="78158080"/>
        <c:scaling>
          <c:orientation val="minMax"/>
        </c:scaling>
        <c:axPos val="b"/>
        <c:tickLblPos val="nextTo"/>
        <c:crossAx val="78159872"/>
        <c:crosses val="autoZero"/>
        <c:auto val="1"/>
        <c:lblAlgn val="ctr"/>
        <c:lblOffset val="100"/>
      </c:catAx>
      <c:valAx>
        <c:axId val="78159872"/>
        <c:scaling>
          <c:orientation val="minMax"/>
        </c:scaling>
        <c:axPos val="l"/>
        <c:majorGridlines/>
        <c:numFmt formatCode="General" sourceLinked="1"/>
        <c:tickLblPos val="nextTo"/>
        <c:crossAx val="78158080"/>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472</Words>
  <Characters>2693</Characters>
  <Application>Microsoft Office Word</Application>
  <DocSecurity>4</DocSecurity>
  <Lines>22</Lines>
  <Paragraphs>6</Paragraphs>
  <ScaleCrop>false</ScaleCrop>
  <Company>Hewlett-Packard Company</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Kilijanski</dc:creator>
  <cp:lastModifiedBy>Katie Adamczak</cp:lastModifiedBy>
  <cp:revision>2</cp:revision>
  <dcterms:created xsi:type="dcterms:W3CDTF">2018-12-12T15:06:00Z</dcterms:created>
  <dcterms:modified xsi:type="dcterms:W3CDTF">2018-12-12T15:06:00Z</dcterms:modified>
</cp:coreProperties>
</file>